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0"/>
      </w:pPr>
      <w:r>
        <w:rPr>
          <w:color w:val="0000ff"/>
          <w:sz w:val="19"/>
          <w:szCs w:val="19"/>
        </w:rPr>
      </w:r>
      <w:r>
        <w:rPr>
          <w:color w:val="0000ff"/>
          <w:sz w:val="19"/>
          <w:szCs w:val="19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i/>
          <w:color w:val="1e4f79" w:themeColor="accent1" w:themeShade="8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1e4f79" w:themeColor="accent1" w:themeShade="80"/>
          <w:sz w:val="28"/>
          <w:szCs w:val="28"/>
        </w:rPr>
        <w:t xml:space="preserve">Социальный контракт </w:t>
      </w:r>
      <w:r>
        <w:rPr>
          <w:rFonts w:ascii="Times New Roman" w:hAnsi="Times New Roman" w:cs="Times New Roman"/>
          <w:b/>
          <w:i/>
          <w:color w:val="1e4f79" w:themeColor="accent1" w:themeShade="80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1e4f79" w:themeColor="accent1" w:themeShade="80"/>
          <w:sz w:val="28"/>
          <w:szCs w:val="28"/>
        </w:rPr>
        <w:t xml:space="preserve">как инновационная технология социальной поддержки граждан.</w:t>
      </w:r>
      <w:r>
        <w:rPr>
          <w:rFonts w:ascii="Times New Roman" w:hAnsi="Times New Roman" w:cs="Times New Roman"/>
          <w:b/>
          <w:bCs/>
          <w:i/>
          <w:color w:val="1e4f79" w:themeColor="accent1" w:themeShade="80"/>
          <w:sz w:val="28"/>
          <w:szCs w:val="28"/>
          <w:u w:val="single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</w:rPr>
      </w:r>
      <w:r/>
    </w:p>
    <w:p>
      <w:pPr>
        <w:ind w:left="-709" w:right="0" w:firstLine="708"/>
        <w:jc w:val="both"/>
        <w:spacing w:after="0" w:line="240" w:lineRule="auto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36"/>
          <w:szCs w:val="36"/>
          <w:u w:val="none"/>
        </w:rPr>
      </w:pPr>
      <w:r>
        <w:rPr>
          <w:rFonts w:ascii="Times New Roman" w:hAnsi="Times New Roman" w:cs="Times New Roman"/>
          <w:b w:val="0"/>
          <w:color w:val="000000" w:themeColor="text1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-412410</wp:posOffset>
                </wp:positionH>
                <wp:positionV relativeFrom="paragraph">
                  <wp:posOffset>160552</wp:posOffset>
                </wp:positionV>
                <wp:extent cx="2370329" cy="2374797"/>
                <wp:effectExtent l="0" t="0" r="0" b="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9259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370329" cy="2374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-32.5pt;mso-position-horizontal:absolute;mso-position-vertical-relative:text;margin-top:12.6pt;mso-position-vertical:absolute;width:186.6pt;height:187.0pt;mso-wrap-distance-left:9.1pt;mso-wrap-distance-top:0.0pt;mso-wrap-distance-right:9.1pt;mso-wrap-distance-bottom:0.0pt;" wrapcoords="0 0 100000 0 100000 100000 0 10000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color w:val="000000" w:themeColor="text1"/>
        </w:rPr>
        <w:t xml:space="preserve">П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ров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одя активную социальную политику, гарантирующую гражданам обеспечение их социальных прав и достаточный уровень благосостояния, государство выполняет основное обязательство, определяемое Конституцией РФ. Подобная «защита» для населения особенная важна в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условиях становления после глубокого экономического спада, повлекшего за собой появление резкой поляризации общества. На сегодняшний день проблема бедности продолжает затрагивать миллионы россиян. Несмотря на усилия, предпринимаемые государством в области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социальной защиты населения, проблема помощи малоимущим гражданам остается одной из приоритетных направлений государственной социальной политики. Поэтому ежегодно Правительство РФ старается не только увеличить финансовую поддержку незащищенных слоев н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аселения, но и расширять меры социальной помощи за счет использования инновационных технологий</w:t>
      </w:r>
      <w:r>
        <w:rPr>
          <w:rFonts w:ascii="Times New Roman" w:hAnsi="Times New Roman" w:cs="Times New Roman"/>
          <w:b w:val="0"/>
          <w:i w:val="0"/>
          <w:color w:val="000000" w:themeColor="text1"/>
          <w:u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36"/>
          <w:szCs w:val="36"/>
          <w:u w:val="none"/>
        </w:rPr>
      </w:r>
      <w:r/>
    </w:p>
    <w:p>
      <w:pPr>
        <w:pStyle w:val="813"/>
        <w:ind w:left="-709" w:righ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Перспективным инструментом, позволяющим частично решить проблему бедности посредством оказания социальной поддержки гражданам, признанным нуждающимися, является технология социального контракта. Особенность такой меры заключается, прежде всего, в том, что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при о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казании помощи в большей степени задействуется потенциал получателей, а также их желание преодолеть финансовые трудности. Поэтому основной целью внедрения механизма социального контракта является выход граждан из кризисных ситуаций за счет самостоятельных 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исто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чников доходо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в.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pStyle w:val="813"/>
        <w:ind w:left="-709"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pStyle w:val="813"/>
        <w:ind w:left="-709"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Социальный контракт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соглашение, которое заключено между гражданином и органом социальной защиты населения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которым орган социальной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адаптации.</w:t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pStyle w:val="813"/>
        <w:ind w:left="-709"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pStyle w:val="813"/>
        <w:ind w:left="-709" w:righ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Программа социальной адаптации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разработанные органом социальной защиты населения совместно с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получателем государственной социальной помощи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мероприятия, которые направлены на преодоление им трудной жизненной ситуации, и определенные такой программой виды, объем и порядок реализации этих мероприятий.</w:t>
      </w:r>
      <w:r>
        <w:rPr>
          <w:sz w:val="19"/>
          <w:szCs w:val="19"/>
        </w:rPr>
      </w:r>
      <w:r/>
    </w:p>
    <w:p>
      <w:pPr>
        <w:pStyle w:val="813"/>
        <w:ind w:left="-709" w:right="0" w:firstLine="709"/>
        <w:jc w:val="both"/>
        <w:rPr>
          <w:sz w:val="19"/>
          <w:szCs w:val="19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pStyle w:val="813"/>
        <w:ind w:left="-709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  <w:u w:val="none"/>
        </w:rPr>
      </w:pPr>
      <w:r>
        <w:rPr>
          <w:sz w:val="19"/>
          <w:szCs w:val="19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Социальный кон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тракт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заключается </w:t>
      </w:r>
      <w:r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по направлениям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, в следующем размере:</w:t>
      </w: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  <w:r/>
    </w:p>
    <w:p>
      <w:pPr>
        <w:pStyle w:val="813"/>
        <w:ind w:left="-709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  <w:r/>
    </w:p>
    <w:p>
      <w:pPr>
        <w:pStyle w:val="813"/>
        <w:ind w:left="-709" w:right="0" w:firstLine="0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  <w:u w:val="none"/>
        </w:rPr>
      </w:pPr>
      <w:r>
        <w:rPr>
          <w:rFonts w:ascii="Times New Roman" w:hAnsi="Times New Roman" w:cs="Times New Roman"/>
          <w:sz w:val="24"/>
          <w:szCs w:val="24"/>
          <w:u w:val="none"/>
        </w:rPr>
      </w:r>
      <w:r>
        <w:rPr>
          <w:rFonts w:ascii="Times New Roman" w:hAnsi="Times New Roman" w:cs="Times New Roman"/>
          <w:color w:val="000000" w:themeColor="text1"/>
        </w:rPr>
        <w:t xml:space="preserve">-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поиск работы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(в 1-й ме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сяц</w:t>
      </w:r>
      <w:r>
        <w:rPr>
          <w:rFonts w:ascii="Times New Roman" w:hAnsi="Times New Roman" w:cs="Times New Roman"/>
          <w:color w:val="000000" w:themeColor="text1"/>
        </w:rPr>
        <w:t xml:space="preserve"> заключения </w:t>
      </w:r>
      <w:r>
        <w:rPr>
          <w:rFonts w:ascii="Times New Roman" w:hAnsi="Times New Roman" w:cs="Times New Roman"/>
          <w:color w:val="000000" w:themeColor="text1"/>
        </w:rPr>
        <w:t xml:space="preserve">социального </w:t>
      </w:r>
      <w:r>
        <w:rPr>
          <w:rFonts w:ascii="Times New Roman" w:hAnsi="Times New Roman" w:cs="Times New Roman"/>
          <w:color w:val="000000" w:themeColor="text1"/>
        </w:rPr>
        <w:t xml:space="preserve">контракта и в течени</w:t>
      </w:r>
      <w:r>
        <w:rPr>
          <w:rFonts w:ascii="Times New Roman" w:hAnsi="Times New Roman" w:cs="Times New Roman"/>
          <w:color w:val="000000" w:themeColor="text1"/>
        </w:rPr>
        <w:t xml:space="preserve">е</w:t>
      </w:r>
      <w:r>
        <w:rPr>
          <w:rFonts w:ascii="Times New Roman" w:hAnsi="Times New Roman" w:cs="Times New Roman"/>
          <w:color w:val="000000" w:themeColor="text1"/>
        </w:rPr>
        <w:t xml:space="preserve"> 3-х месяцев </w:t>
      </w:r>
      <w:r>
        <w:rPr>
          <w:rFonts w:ascii="Times New Roman" w:hAnsi="Times New Roman" w:cs="Times New Roman"/>
          <w:color w:val="000000" w:themeColor="text1"/>
        </w:rPr>
        <w:t xml:space="preserve">после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подтверждения факта </w:t>
      </w:r>
      <w:r>
        <w:rPr>
          <w:rFonts w:ascii="Times New Roman" w:hAnsi="Times New Roman" w:cs="Times New Roman"/>
          <w:color w:val="000000" w:themeColor="text1"/>
        </w:rPr>
        <w:t xml:space="preserve">трудоустройства</w:t>
      </w:r>
      <w:r>
        <w:rPr>
          <w:rFonts w:ascii="Times New Roman" w:hAnsi="Times New Roman" w:cs="Times New Roman"/>
          <w:color w:val="000000" w:themeColor="text1"/>
        </w:rPr>
        <w:t xml:space="preserve"> гражданином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1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6609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руб.)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;</w:t>
      </w: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  <w:r/>
    </w:p>
    <w:p>
      <w:pPr>
        <w:pStyle w:val="813"/>
        <w:ind w:left="-709" w:right="0" w:firstLine="709"/>
        <w:jc w:val="both"/>
        <w:spacing w:line="240" w:lineRule="auto"/>
        <w:rPr>
          <w:rFonts w:ascii="Times New Roman" w:hAnsi="Times New Roman" w:cs="Times New Roman"/>
          <w:sz w:val="24"/>
          <w:szCs w:val="24"/>
          <w:highlight w:val="none"/>
          <w:u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13"/>
        <w:ind w:left="-709" w:right="0" w:firstLine="0"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осуществление индивидуальной п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редпринимательской деятельности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(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u w:val="single"/>
        </w:rPr>
        <w:t xml:space="preserve">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u w:val="single"/>
        </w:rPr>
        <w:t xml:space="preserve">диновременн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u w:val="single"/>
        </w:rPr>
        <w:t xml:space="preserve">о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u w:val="single"/>
        </w:rPr>
        <w:t xml:space="preserve"> в зависимости от сметы расходов, указанной в утвержденной программе социальной адаптации –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не более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3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50000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руб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u w:val="singl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u w:val="single"/>
        </w:rPr>
        <w:t xml:space="preserve"> и 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u w:val="single"/>
        </w:rPr>
        <w:t xml:space="preserve">за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u w:val="single"/>
        </w:rPr>
        <w:t xml:space="preserve"> курс профессионального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u w:val="single"/>
        </w:rPr>
        <w:t xml:space="preserve">обучени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u w:val="single"/>
        </w:rPr>
        <w:t xml:space="preserve">я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не более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30000 руб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u w:val="single"/>
        </w:rPr>
        <w:t xml:space="preserve">)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; </w:t>
      </w:r>
      <w:r>
        <w:rPr>
          <w:rFonts w:ascii="Times New Roman" w:hAnsi="Times New Roman" w:cs="Times New Roman"/>
          <w:color w:val="000000" w:themeColor="text1"/>
        </w:rPr>
      </w:r>
      <w:r/>
    </w:p>
    <w:p>
      <w:pPr>
        <w:pStyle w:val="813"/>
        <w:ind w:left="-709" w:right="0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ab/>
        <w:tab/>
        <w:t xml:space="preserve">          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r>
      <w:r/>
    </w:p>
    <w:p>
      <w:pPr>
        <w:pStyle w:val="813"/>
        <w:ind w:left="-709" w:right="0" w:firstLine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</w:rPr>
        <w:t xml:space="preserve"> -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веден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ие личного подсобного хозяйства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единовременно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 xml:space="preserve"> в </w:t>
      </w:r>
      <w:r>
        <w:rPr>
          <w:rFonts w:ascii="Times New Roman" w:hAnsi="Times New Roman" w:cs="Times New Roman"/>
          <w:color w:val="000000" w:themeColor="text1"/>
        </w:rPr>
        <w:t xml:space="preserve">зависимости от сметы расходов, указанной в утвержденной программе социальной адаптации, </w:t>
      </w:r>
      <w:r>
        <w:rPr>
          <w:rFonts w:ascii="Times New Roman" w:hAnsi="Times New Roman" w:cs="Times New Roman"/>
          <w:color w:val="000000" w:themeColor="text1"/>
        </w:rPr>
        <w:t xml:space="preserve"> – не более 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2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00000 руб. </w:t>
      </w:r>
      <w:r>
        <w:rPr>
          <w:rFonts w:ascii="Times New Roman" w:hAnsi="Times New Roman" w:cs="Times New Roman"/>
          <w:b w:val="0"/>
          <w:i w:val="0"/>
          <w:iCs w:val="0"/>
          <w:color w:val="000000" w:themeColor="text1"/>
          <w:u w:val="none"/>
        </w:rPr>
        <w:t xml:space="preserve">и  </w:t>
      </w:r>
      <w:r>
        <w:rPr>
          <w:rFonts w:ascii="Times New Roman" w:hAnsi="Times New Roman" w:cs="Times New Roman"/>
          <w:b w:val="0"/>
          <w:i w:val="0"/>
          <w:iCs w:val="0"/>
          <w:color w:val="000000" w:themeColor="text1"/>
          <w:u w:val="none"/>
        </w:rPr>
        <w:t xml:space="preserve">за</w:t>
      </w:r>
      <w:r>
        <w:rPr>
          <w:rFonts w:ascii="Times New Roman" w:hAnsi="Times New Roman" w:cs="Times New Roman"/>
          <w:b w:val="0"/>
          <w:i w:val="0"/>
          <w:iCs w:val="0"/>
          <w:color w:val="000000" w:themeColor="text1"/>
          <w:u w:val="none"/>
        </w:rPr>
        <w:t xml:space="preserve"> курс профессионального </w:t>
      </w:r>
      <w:r>
        <w:rPr>
          <w:rFonts w:ascii="Times New Roman" w:hAnsi="Times New Roman" w:cs="Times New Roman"/>
          <w:b w:val="0"/>
          <w:i w:val="0"/>
          <w:iCs w:val="0"/>
          <w:color w:val="000000" w:themeColor="text1"/>
          <w:u w:val="none"/>
        </w:rPr>
        <w:t xml:space="preserve">обучени</w:t>
      </w:r>
      <w:r>
        <w:rPr>
          <w:rFonts w:ascii="Times New Roman" w:hAnsi="Times New Roman" w:cs="Times New Roman"/>
          <w:b w:val="0"/>
          <w:i w:val="0"/>
          <w:iCs w:val="0"/>
          <w:color w:val="000000" w:themeColor="text1"/>
          <w:u w:val="none"/>
        </w:rPr>
        <w:t xml:space="preserve">я</w:t>
      </w:r>
      <w:r>
        <w:rPr>
          <w:rFonts w:ascii="Times New Roman" w:hAnsi="Times New Roman" w:cs="Times New Roman"/>
          <w:b w:val="0"/>
          <w:i/>
          <w:iCs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не более</w:t>
      </w:r>
      <w:r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30000 руб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.</w:t>
      </w:r>
      <w:r>
        <w:rPr>
          <w:rFonts w:ascii="Times New Roman" w:hAnsi="Times New Roman" w:cs="Times New Roman"/>
          <w:b/>
          <w:i/>
          <w:color w:val="000000" w:themeColor="text1"/>
        </w:rPr>
        <w:t xml:space="preserve">)</w:t>
      </w:r>
      <w:r>
        <w:rPr>
          <w:rFonts w:ascii="Times New Roman" w:hAnsi="Times New Roman" w:cs="Times New Roman"/>
          <w:color w:val="000000" w:themeColor="text1"/>
        </w:rPr>
        <w:t xml:space="preserve">;</w:t>
      </w: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r>
      <w:r/>
    </w:p>
    <w:p>
      <w:pPr>
        <w:pStyle w:val="813"/>
        <w:ind w:left="-709" w:right="0" w:firstLine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highlight w:val="none"/>
        </w:rPr>
      </w:r>
      <w:r/>
    </w:p>
    <w:p>
      <w:pPr>
        <w:pStyle w:val="813"/>
        <w:ind w:left="-709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  <w:u w:val="none"/>
        </w:rPr>
      </w:pPr>
      <w:r>
        <w:rPr>
          <w:rFonts w:ascii="Times New Roman" w:hAnsi="Times New Roman" w:cs="Times New Roman"/>
          <w:color w:val="000000" w:themeColor="text1"/>
        </w:rPr>
        <w:t xml:space="preserve">-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осуществление мероприятий, направленных гражданином на преодоление трудной жизненной ситуации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b w:val="0"/>
          <w:bCs w:val="0"/>
          <w:i/>
          <w:iCs/>
          <w:color w:val="000000" w:themeColor="text1"/>
          <w:u w:val="single"/>
        </w:rPr>
        <w:t xml:space="preserve">ежемесячно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– 1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6609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</w:rPr>
        <w:t xml:space="preserve"> руб.</w:t>
      </w:r>
      <w:r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 не более 6 месяцев</w:t>
      </w:r>
      <w:r>
        <w:rPr>
          <w:rFonts w:ascii="Times New Roman" w:hAnsi="Times New Roman" w:cs="Times New Roman"/>
          <w:color w:val="000000" w:themeColor="text1"/>
        </w:rPr>
        <w:t xml:space="preserve">).</w:t>
      </w:r>
      <w:r>
        <w:rPr>
          <w:rFonts w:ascii="Times New Roman" w:hAnsi="Times New Roman" w:cs="Times New Roman"/>
          <w:sz w:val="24"/>
          <w:szCs w:val="24"/>
          <w:highlight w:val="none"/>
          <w:u w:val="none"/>
        </w:rPr>
      </w:r>
      <w:r/>
    </w:p>
    <w:p>
      <w:pPr>
        <w:pStyle w:val="813"/>
        <w:ind w:left="-709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left="-709" w:righ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left="-709" w:righ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Для получения полной информации по данному вопросу обращайтесь в ОГКУ «Управление социальной защиты населения по Тайшетскому району»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по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адресу: г.Тайшет, м/н. Пахотищева д.24Н или по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тел. 2-69-12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ru-RU"/>
        </w:rPr>
        <w:t xml:space="preserve">, 2-69-14.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42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2023-05-05T01:05:47Z</dcterms:modified>
</cp:coreProperties>
</file>